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ascii="Verdana" w:hAnsi="Verdana" w:cs="Verdana"/>
          <w:sz w:val="32"/>
          <w:szCs w:val="32"/>
        </w:rPr>
      </w:pPr>
      <w:bookmarkStart w:id="0" w:name="_GoBack"/>
      <w:bookmarkEnd w:id="0"/>
      <w:r>
        <w:rPr>
          <w:rFonts w:ascii="方正黑体_GBK" w:hAnsi="方正黑体_GBK" w:eastAsia="方正黑体_GBK" w:cs="方正黑体_GBK"/>
          <w:color w:val="333333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Verdana" w:hAnsi="Verdana" w:cs="Verdana"/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333333"/>
          <w:sz w:val="44"/>
          <w:szCs w:val="4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年度项目申报说明和选题指南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Helvetica" w:cs="Times New Roman"/>
          <w:color w:val="333333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一、申报说明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Verdana" w:hAnsi="Verdana" w:cs="Verdana"/>
          <w:sz w:val="32"/>
          <w:szCs w:val="32"/>
        </w:rPr>
      </w:pPr>
      <w:r>
        <w:rPr>
          <w:rFonts w:ascii="方正楷体_GBK" w:hAnsi="方正楷体_GBK" w:eastAsia="方正楷体_GBK" w:cs="方正楷体_GBK"/>
          <w:color w:val="333333"/>
          <w:sz w:val="32"/>
          <w:szCs w:val="32"/>
        </w:rPr>
        <w:t>（一）选题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5"/>
        <w:jc w:val="both"/>
        <w:textAlignment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Helvetica" w:cs="Times New Roman"/>
          <w:color w:val="333333"/>
          <w:kern w:val="0"/>
          <w:sz w:val="32"/>
          <w:szCs w:val="32"/>
          <w:lang w:val="en-US" w:eastAsia="zh-CN" w:bidi="ar"/>
        </w:rPr>
        <w:t>1</w:t>
      </w:r>
      <w:r>
        <w:rPr>
          <w:rFonts w:ascii="仿宋_GB2312" w:hAnsi="Times New Roman" w:eastAsia="仿宋_GB2312" w:cs="仿宋_GB2312"/>
          <w:color w:val="333333"/>
          <w:kern w:val="0"/>
          <w:sz w:val="32"/>
          <w:szCs w:val="32"/>
          <w:lang w:val="en-US" w:eastAsia="zh-CN" w:bidi="ar"/>
        </w:rPr>
        <w:t>．</w:t>
      </w:r>
      <w:r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选题指南”包括比较笼统的方向性条目和比较具体的题目两类。方向性条目设定了研究范围和方向，申请人可据此自行设计具体题目；具体题目，申报人可从不同的视角、方法和侧重点进行选题设计，也可对题目的文字表述做出适当修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2</w:t>
      </w:r>
      <w:r>
        <w:rPr>
          <w:rFonts w:hint="eastAsia" w:ascii="仿宋_GB2312" w:hAnsi="Verdana" w:eastAsia="仿宋_GB2312" w:cs="仿宋_GB2312"/>
          <w:color w:val="333333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color w:val="333333"/>
          <w:spacing w:val="-6"/>
          <w:sz w:val="32"/>
          <w:szCs w:val="32"/>
        </w:rPr>
        <w:t>带“★”者为重大（或重点）选题条目。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3</w:t>
      </w:r>
      <w:r>
        <w:rPr>
          <w:rFonts w:hint="eastAsia" w:ascii="仿宋_GB2312" w:hAnsi="Verdana" w:eastAsia="仿宋_GB2312" w:cs="仿宋_GB2312"/>
          <w:color w:val="333333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鼓励在符合“选题指南”精神前提下，结合自己研究方向自主选题。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4</w:t>
      </w:r>
      <w:r>
        <w:rPr>
          <w:rFonts w:hint="eastAsia" w:ascii="仿宋_GB2312" w:hAnsi="Verdana" w:eastAsia="仿宋_GB2312" w:cs="仿宋_GB2312"/>
          <w:color w:val="333333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申报题目的表述应科学、严谨、规范、简明，一般不加副标题。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（二）研究类型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分为基础研究、应用研究、综合研究和其他研究。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333333"/>
          <w:sz w:val="32"/>
          <w:szCs w:val="32"/>
        </w:rPr>
        <w:t>（三）预期成果形式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分为学术专著、研究报告和系列论文。申请者根据研究设计选择其中一种预期成果形式。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二、选题指南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spacing w:val="-6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32"/>
          <w:szCs w:val="32"/>
          <w:lang w:val="en-US" w:eastAsia="zh-CN" w:bidi="ar"/>
        </w:rPr>
        <w:t>．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习近平总书记关于重庆工作的重要指示、批示研究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．“两个确立”的理论逻辑、历史逻辑和实践逻辑研究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．马克思主义中国化“两个结合”的内涵及规律研究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．习近平新时代中国特色社会主义思想原创性贡献研究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．习近平新时代中国特色社会主义思想的方法论研究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．习近平新时代中国特色社会主义思想的世界意义研究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．习近平总书记关于中国共产党历史重要论述研究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</w:t>
      </w:r>
      <w:r>
        <w:rPr>
          <w:rFonts w:hint="eastAsia" w:ascii="方正仿宋_GBK" w:hAnsi="方正仿宋_GBK" w:eastAsia="方正仿宋_GBK" w:cs="方正仿宋_GBK"/>
          <w:color w:val="333333"/>
          <w:spacing w:val="-11"/>
          <w:kern w:val="0"/>
          <w:sz w:val="32"/>
          <w:szCs w:val="32"/>
          <w:lang w:val="en-US" w:eastAsia="zh-CN" w:bidi="ar"/>
        </w:rPr>
        <w:t>习近平总书记关于坚持和加强党的全面领导重要论述研究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9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．习近平总书记关于依规治党重要论述研究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．习近平总书记关于完整、准确、全面贯彻新发展理念重要论述研究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．习近平总书记关于高质量发展重要论述研究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．习近平总书记关于“三农”问题重要论述研究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13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．习近平总书记对马克思主义人民性理论的发展研究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14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</w:t>
      </w:r>
      <w:r>
        <w:rPr>
          <w:rFonts w:hint="eastAsia" w:ascii="方正仿宋_GBK" w:hAnsi="方正仿宋_GBK" w:eastAsia="方正仿宋_GBK" w:cs="方正仿宋_GBK"/>
          <w:color w:val="333333"/>
          <w:spacing w:val="-11"/>
          <w:kern w:val="0"/>
          <w:sz w:val="32"/>
          <w:szCs w:val="32"/>
          <w:lang w:val="en-US" w:eastAsia="zh-CN" w:bidi="ar"/>
        </w:rPr>
        <w:t>习近平总书记关于铸牢中华民族共同体意识重要论述研究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．习近平总书记关于国家安全重要论述研究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．习近平总书记关于哲学社会科学重要论述研究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．习近平总书记关于历史科学重要论述研究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．习近平总书记关于档案工作重要论述研究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456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24"/>
          <w:szCs w:val="24"/>
          <w:lang w:val="en-US" w:eastAsia="zh-CN" w:bidi="ar"/>
        </w:rPr>
        <w:t>★</w:t>
      </w:r>
      <w:r>
        <w:rPr>
          <w:rFonts w:hint="default" w:ascii="Times New Roman" w:hAnsi="Times New Roman" w:eastAsia="方正仿宋_GBK" w:cs="Times New Roman"/>
          <w:color w:val="333333"/>
          <w:spacing w:val="-6"/>
          <w:kern w:val="0"/>
          <w:sz w:val="32"/>
          <w:szCs w:val="32"/>
          <w:lang w:val="en-US" w:eastAsia="zh-CN" w:bidi="ar"/>
        </w:rPr>
        <w:t>19</w:t>
      </w: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32"/>
          <w:szCs w:val="32"/>
          <w:lang w:val="en-US" w:eastAsia="zh-CN" w:bidi="ar"/>
        </w:rPr>
        <w:t>．习近平经济思想与中国特色经济学学科体系建设研究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．“五个必由之路”的重要内涵和时代意义研究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．重庆乡村振兴法治保障研究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．川渝地区司法服务一体化协作机制研究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．建立健全农村基层组织推动乡村振兴研究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．重庆基层党建与机关业务深度融合研究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．重庆提升党员干部共情能力研究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．习近平法治思想纳入高校法治理论教学体系研究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．中国共产党的政治建设话语体系生成研究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．中国共产党重庆历史研究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．党内法规规范性文件和地方立法的衔接研究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．国有企业开展产业链、供应链、创新链党建工作研究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31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．混合所有制企业党建研究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32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．加强新业态新就业群体党建工作研究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33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．建立健全高质量党建引领保障高质量发展机制研究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34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．组织工作在党的自我革命中的重要作用研究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35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．共同富裕的长期性、艰巨性、复杂性研究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36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．共同富裕与人的自由全面发展研究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37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．“四史”宣传教育背景下增强青年红色文化认同研究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38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．重庆爱国主义教育基地规范管理机制研究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39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．构建中国特色哲学社会科学体系研究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40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color w:val="333333"/>
          <w:spacing w:val="-6"/>
          <w:sz w:val="32"/>
          <w:szCs w:val="32"/>
        </w:rPr>
        <w:t>“西式现代化”批判与“中国式现代化新道路”启示研究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41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．《资本论》的方法论研究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42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．共青团建团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周年和重庆青年运动研究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43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．加快建设青年人才荟萃地研究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44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．加强年轻干部教育管理监督研究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45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．进一步激励干部担当作为研究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46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．提升干部队伍现代化建设能力研究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47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．跨流域跨区域横向生态保护补偿机制研究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48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．社会主义核心价值观融入宗教工作研究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49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．新时代弘扬“西迁精神”研究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50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．重庆公共信用信息平台建设研究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51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color w:val="333333"/>
          <w:spacing w:val="-17"/>
          <w:sz w:val="32"/>
          <w:szCs w:val="32"/>
        </w:rPr>
        <w:t>重庆领导干部自然资源资产离任审计评价指标体系构建研究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52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．重庆市域社会治理现代化研究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53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．重庆数字创新成果知识产权保护立法研究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54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．重庆统一战线历史研究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55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．重庆推动金融数据产业发展的法律保障机制研究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56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．重庆现代公共法律服务体系建设研究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57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．行政执法协调监督体系研究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58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．加快推进新兴领域立法研究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59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．媒体公益普法制度研究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60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．守信激励和失信惩戒立法研究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61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．新媒体背景下重庆“智慧普法”机制创新研究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62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．渔业资源保护中行刑衔接的立法与实践研究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63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．重庆地方立法评估研究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64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color w:val="333333"/>
          <w:spacing w:val="-17"/>
          <w:sz w:val="32"/>
          <w:szCs w:val="32"/>
        </w:rPr>
        <w:t>重庆地方性规章、规范性文件备案审查和评估清理制度研究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65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．重庆法律顾问、公职律师参与重大行政决策机制研究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66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．重庆法治乡村建设研究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67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．重庆公共法律服务评价指标体系研究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68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．重庆互联网领域公益诉讼制度研究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69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．重庆农村地区法律顾问制度研究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70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．重庆青少年法治教育工作机制创新研究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71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．电信网络诈骗全链条打击、一体化治理法治保障研究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72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．反诈宣传社会全覆盖研究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73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．高质量发展背景下促进共同富裕研究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74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．成渝地区双城经济圈协同创新体系建设研究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75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．长江上游“三水”安全区间预测与协同治理研究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76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．重庆经济社会发展全面绿色转型研究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77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．“双碳”目标下三峡库区城镇生态化建设研究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78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．“双碳”目标下重庆国土空间规划优化研究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79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．重庆重特大生产安全事故预警与防范机制优化研究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80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RCEP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背景下重庆对外贸易高质量发展路径研究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81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．基于金融生态的成渝共建西部金融中心路径研究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82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．商业保险服务共同富裕目标机制研究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83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．乡村产业振兴防止规模性返贫研究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84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．乡村振兴背景下重庆农村土地制度改革研究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85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．重庆乡村振兴金融服务模式创新研究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86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．政企合作规范体系研究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87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．提升政府助企精准化机制研究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88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．重庆促进“专精特新”企业发展研究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89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．重庆扩大服务业对外开放路径研究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90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．重庆网络安全管理制度创新研究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91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．重庆信用经济发展研究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92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．成渝地区双城经济圈一体化发展评价指标体系研究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93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．成渝地区现代流通网络建设研究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94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．成渝地区要素资源市场一体化研究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95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．成渝企业跨境投融资创新研究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96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．“万开云”一体化发展研究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97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．渝东南武陵山区民俗风情生态旅游示范区打造研究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98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．创新要素有序流动和合理配置研究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99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．全球地缘政治格局演变对重庆对外开放影响研究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．统一大市场建设背景下破除地方保护和区域壁垒研究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101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．重庆发展统一的资本市场研究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102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．重庆健全统一市场监管机制研究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103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．重庆数字政府建设研究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104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．重庆数字政府全方位安全保障体系构建研究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105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．重庆数字经济公平竞争治理研究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106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．重庆数据产权制度研究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107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．助推数字经济发展的税收政策与服务研究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108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．税收大数据促进精准招商机制研究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109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color w:val="333333"/>
          <w:spacing w:val="-6"/>
          <w:sz w:val="32"/>
          <w:szCs w:val="32"/>
        </w:rPr>
        <w:t>重庆农村集体经济“资金</w:t>
      </w:r>
      <w:r>
        <w:rPr>
          <w:rFonts w:hint="default" w:ascii="Times New Roman" w:hAnsi="Times New Roman" w:eastAsia="方正仿宋_GBK" w:cs="Times New Roman"/>
          <w:color w:val="333333"/>
          <w:spacing w:val="-6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color w:val="333333"/>
          <w:spacing w:val="-6"/>
          <w:sz w:val="32"/>
          <w:szCs w:val="32"/>
        </w:rPr>
        <w:t>资产</w:t>
      </w:r>
      <w:r>
        <w:rPr>
          <w:rFonts w:hint="default" w:ascii="Times New Roman" w:hAnsi="Times New Roman" w:eastAsia="方正仿宋_GBK" w:cs="Times New Roman"/>
          <w:color w:val="333333"/>
          <w:spacing w:val="-6"/>
          <w:sz w:val="32"/>
          <w:szCs w:val="32"/>
        </w:rPr>
        <w:t>-</w:t>
      </w:r>
      <w:r>
        <w:rPr>
          <w:rFonts w:hint="eastAsia" w:ascii="方正仿宋_GBK" w:hAnsi="方正仿宋_GBK" w:eastAsia="方正仿宋_GBK" w:cs="方正仿宋_GBK"/>
          <w:color w:val="333333"/>
          <w:spacing w:val="-6"/>
          <w:sz w:val="32"/>
          <w:szCs w:val="32"/>
        </w:rPr>
        <w:t>资源”数字化治理研究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110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．重庆健全商品质量体系研究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111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．重庆交易平台优化升级研究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112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．重庆金融体系风险管理能力提升研究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113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．重庆金融体系支持科技创新体系构建研究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114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．重庆重大金融风险防范化解机制研究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115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．高质量发展战略下重庆保险市场供给体系研究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116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．重庆投资新空间及投融资能力提升研究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117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．市属国有控股上市公司高质量发展研究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118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．市属国有制造业转型升级高质量发展研究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119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．重庆国有企业内控体系研究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120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．重庆平台企业合规治理研究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121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．大型涉房企业危困成因及纾困策略研究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122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．重庆科技型企业培育研究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123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．重庆“百年乡建”资源的开发利用研究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124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．重庆冰雪运动旅游资源整合与开发研究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125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．重庆培育建设国际消费中心城市路径研究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126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．重庆新型智慧城市建设的目标与路径研究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127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．构建产才融合发展机制研究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128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．重庆人力资源服务业高质量发展研究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129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．重庆山地特色农业农村现代化研究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130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．农村集体经济组织治理优化研究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131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．重庆市场信息交互渠道研究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132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．重庆市区域智造发展水平评价指标体系研究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133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．重庆县级财力长效保障机制研究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134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．综合交通枢纽型公共空间风险治理研究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135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．历史比较视野下的大国海外铁路建设研究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136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．三峡库区生物多样性保护研究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137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．重庆保障粮食安全研究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138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．重庆高等教育高质量发展路径选择研究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139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．重庆“双一流”高校和学科建设研究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140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．成渝地区双城经济圈乡村振兴与职业教育高质量发展融合研究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141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．成渝地区双城经济圈行政执法协作联动机制研究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142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．重庆高端人才引进和保障机制创新研究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143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．重庆人才评价体系改革研究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144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．重庆高质量构建“一老一小”保障体系研究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145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．城市互助养老的社会资源开发与整合利用研究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146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．重庆基本养老服务体系建设研究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147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．“三孩”政策下重庆城乡托育服务资源供给研究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148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．“三孩”政策下婴幼儿照护服务体系建设与发展研究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149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．重庆青少年体育健康发展研究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150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．“双减”背景下青少年人际关系与人格发展促进研究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151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．脱贫农民实现稳步致富研究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152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．“枫桥经验”重庆实践研究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153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．动植物疫病防治体系构建研究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154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．教育“双减”政策促进教育公平研究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155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．大中小学校思想政治教育一体化研究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156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．高校数字校园建设研究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157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．重庆高校新文科建设研究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atLeast"/>
        <w:ind w:left="0" w:right="-105" w:rightChars="-50" w:firstLine="641"/>
        <w:textAlignment w:val="auto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158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．重庆高校学科专业与区域发展需求匹配度评估研究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159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．重庆高校外语学科服务国际传播能力建设研究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160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．重庆科研经费管理体制机制改革研究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161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．重庆科研项目管理全链条质量监测研究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162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．重庆教师教育史研究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163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．新时代思政课教师培养研究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164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．“双减”背景下中小学教师核心素养发展研究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165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．成渝地区双城经济圈教师协同发展研究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166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．成渝地区双城经济圈体育产业协同发展机制研究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167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．人工智能教育的伦理风险研究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168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．重庆优秀青年人才全链条培养制度研究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169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．重庆哲学社会科学人才队伍建设研究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170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．重庆中华优秀文化传播人才培养机制研究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171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．重庆培养国际性人才的外语课程布局研究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172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．思政工作融入少先队活动的路径研究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173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．重庆中小学健康教育研究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174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．普惠性托育服务供需研究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175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．青少年亲子疏离与抑郁防治研究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176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．新时代文明实践中心作用发挥研究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177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．新时代文明实践与社会治理协同发展路径研究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178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．新时代文明实践中心建设评价指标体系研究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179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．新时代文明实践中心在构建“山水之城·美丽之地”生态文明体系中的定位和运行机理研究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180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．公众参与新时代文明实践激励机制研究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181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．重庆志愿服务组织与新时代文明实践中心建设研究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182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．重庆志愿服务标准化建设研究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183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．重庆档案资源保护研究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184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．重庆档案安全体系建设研究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185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．“互联网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+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”时代档案管理数字化研究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186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．重庆建设安全韧性城市的理论与实践研究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187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．重庆耕地差异化用途研究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188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．重庆节约用水激励机制研究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189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．重庆市跨区县合作平台建设研究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190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．重庆新时代人民调解机制创新研究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191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．完善派驻乡镇（街道）管理体制研究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192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．促进企业积极承担社会责任研究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193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．中印农村基层自治与公共物品供给对比研究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194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．红岩精神的丰富内涵与时代价值研究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195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．重庆红色资源保护利用法治化、规范化研究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196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．成渝地区革命文物保护利用合作示范机制研究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197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．重庆非物质文化遗产数据库建设研究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56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pacing w:val="-6"/>
          <w:sz w:val="24"/>
          <w:szCs w:val="24"/>
        </w:rPr>
        <w:t>★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198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．重庆文物全媒体传播体系和能力建设研究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199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．当代马克思主义美学的基本问题及艺术创作理论研究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．世界文化遗产风险评估机制研究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．成渝地区双城经济圈协调推进法治文化建设研究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．中华文化典籍对外话语构建研究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．中华文化物化标识系统研究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．中华文明起源与早期发展综合研究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．中华优秀传统文化创造性转化、创新性发展研究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．长江三峡文化研究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．红岩精神的域外传播研究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．重庆红色资源数据库建设研究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209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．重庆红色档案抢救、修复、整理研究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210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．川渝红色文献整理研究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211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．重庆历史文化精神研究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212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．重庆历史文化保护传承体系研究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213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．重庆历史文化遗产数字化传播研究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214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．重庆历史文化资源调查评估机制研究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215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．重庆城乡历史文化保护金融支持机制研究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216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．重庆民族地区非物质文化遗产传承研究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217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．文物在中外文明交流互鉴中的作用研究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218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．重庆文物地图编绘研究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219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．重庆文物关联知识产权保护研究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220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．重庆文物数字内容新业态研究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221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．重庆文物数字资源建设研究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222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．重庆文物素材再造和衍生创新研究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223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．重庆文物文化创意产业基地研究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224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．重庆文物知识产权多级授权体系和多元投入机制研究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225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．重庆区县级公共图书馆地方文献目录研究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226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．重庆建筑类革命旧址展示利用提升研究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227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．重庆美术展览现状与发展研究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228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．重庆先锋艺术与审美现代性研究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229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．重庆传统手工艺发展现状研究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230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．乡村光环境设计研究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231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．乡村振兴视角下公共艺术文化服务模式研究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232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．重庆图书馆藏西南局《新华日报》整理研究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233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．巴渝地区民族题材竹枝词综合研究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234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．民国时期巴渝艺术家论著收集整理研究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235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．晚清民国宣讲小说与法律关系研究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236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．现代川剧演剧体系研究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237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．中医药传统知识保护和传承制度研究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238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．《周煌文集》整理研究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239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．儒学原创期的家哲学及其当代意义研究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240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16-18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世纪的儒学西传与欧洲现代性启蒙研究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241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．出土文学文献整理研究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242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．从词汇史角度考《黄帝内经》各篇撰成时代研究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243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．康熙《重庆府志》辑佚与研究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244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．秦汉与罗马货币制度对比研究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245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．清代经学与书学关系研究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246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．当代日本战争反思作品译介研究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247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．德语国家旅游指南中的重庆形象研究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248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．基于外向型学习词典的现代汉语常用词释义研究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249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．两德统一前后原民主德国作家作品研究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250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．战时重庆中国共产党活动研究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251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．中共中央南方局强化党员党性教育的经验与价值研究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252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．《新华日报》中国共产党重要文献整理与研究（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1938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—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1947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253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．《红岩革命历史档案文献大系》收集整理研究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254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．全面抗战时期大后方经济专题研究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255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．重庆图书馆藏抗战大后方经济调查文献整理与研究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256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．城口县红色文化资源挖掘、利用研究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257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</w:t>
      </w:r>
      <w:r>
        <w:rPr>
          <w:rFonts w:hint="eastAsia" w:ascii="方正仿宋_GBK" w:hAnsi="方正仿宋_GBK" w:eastAsia="方正仿宋_GBK" w:cs="方正仿宋_GBK"/>
          <w:color w:val="333333"/>
          <w:spacing w:val="-6"/>
          <w:kern w:val="0"/>
          <w:sz w:val="32"/>
          <w:szCs w:val="32"/>
          <w:lang w:val="en-US" w:eastAsia="zh-CN" w:bidi="ar"/>
        </w:rPr>
        <w:t>中共中央南方局与大后方抗战美术档案文献整理与研究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258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．抗战时期大后方的中外美术交流研究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259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．抗战时期大后方的美术教育研究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260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．抗战时期故宫文物南迁重庆史料整理与史迹保护研究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rPr>
          <w:rFonts w:hint="default" w:ascii="Verdana" w:hAnsi="Verdana" w:cs="Verdana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  <w:t>261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．抗战时期重庆与延安的文学互动研究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262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．《新华日报》诗歌整理与研究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263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．抗战漫画史研究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264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．抗战时期重庆科技史研究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265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．中共中央南方局对沦陷区知识分子的统战工作研究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266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．抗战时期重庆报刊中的统一战线研究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267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．抗战时期中共中央南方局外事工作研究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268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．抗战时期法国大使馆驻渝档案整理研究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269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．抗战时期苏联《真理报》载重庆及西南地区人民支援抗战史料整理研究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270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．抗战时期重庆大轰炸被破坏的重要建筑历史研究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271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．抗战大后方宗教界抗日救亡史料整理与研究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64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"/>
        </w:rPr>
        <w:t>272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"/>
        </w:rPr>
        <w:t>．谢唯进资料收集、整理与研究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17"/>
        <w:jc w:val="both"/>
        <w:rPr>
          <w:rFonts w:hint="default" w:ascii="Verdana" w:hAnsi="Verdana" w:cs="Verdana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各相关学科基础理论及理论创新研究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WFjYzA0MTYyNjE4YzBlYTEzNmM3NjFhMWZkOTQifQ=="/>
  </w:docVars>
  <w:rsids>
    <w:rsidRoot w:val="022529BA"/>
    <w:rsid w:val="022529BA"/>
    <w:rsid w:val="6FA7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TML Definition"/>
    <w:basedOn w:val="4"/>
    <w:uiPriority w:val="0"/>
    <w:rPr>
      <w:i/>
      <w:iCs/>
    </w:rPr>
  </w:style>
  <w:style w:type="character" w:styleId="8">
    <w:name w:val="Hyperlink"/>
    <w:basedOn w:val="4"/>
    <w:uiPriority w:val="0"/>
    <w:rPr>
      <w:color w:val="0000FF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0">
    <w:name w:val="HTML Keyboard"/>
    <w:basedOn w:val="4"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nth-child(3)"/>
    <w:basedOn w:val="4"/>
    <w:uiPriority w:val="0"/>
  </w:style>
  <w:style w:type="character" w:customStyle="1" w:styleId="13">
    <w:name w:val="nth-child(1)"/>
    <w:basedOn w:val="4"/>
    <w:uiPriority w:val="0"/>
  </w:style>
  <w:style w:type="character" w:customStyle="1" w:styleId="14">
    <w:name w:val="nth-child(1)1"/>
    <w:basedOn w:val="4"/>
    <w:uiPriority w:val="0"/>
  </w:style>
  <w:style w:type="character" w:customStyle="1" w:styleId="15">
    <w:name w:val="nth-child(2)"/>
    <w:basedOn w:val="4"/>
    <w:uiPriority w:val="0"/>
  </w:style>
  <w:style w:type="character" w:customStyle="1" w:styleId="16">
    <w:name w:val="nth-child(2)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5441</Words>
  <Characters>5892</Characters>
  <Lines>0</Lines>
  <Paragraphs>0</Paragraphs>
  <TotalTime>2</TotalTime>
  <ScaleCrop>false</ScaleCrop>
  <LinksUpToDate>false</LinksUpToDate>
  <CharactersWithSpaces>5898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2022-05-05T02:52:00Z</dcterms:created>
  <dc:creator>xzl-204</dc:creator>
  <cp:lastModifiedBy>xzl-204</cp:lastModifiedBy>
  <dcterms:modified xsi:type="dcterms:W3CDTF">2022-05-05T02:57:07Z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7E0A7EF1631F4EA5B2BBE2F753F47ACC</vt:lpwstr>
  </property>
</Properties>
</file>