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
        <w:ind w:left="140" w:right="438" w:firstLine="0"/>
        <w:jc w:val="left"/>
        <w:rPr>
          <w:rFonts w:hint="eastAsia" w:eastAsia="宋体"/>
          <w:sz w:val="32"/>
          <w:lang w:val="en-US" w:eastAsia="zh-CN"/>
        </w:rPr>
      </w:pPr>
      <w:r>
        <w:rPr>
          <w:rFonts w:hint="eastAsia"/>
          <w:sz w:val="32"/>
          <w:lang w:val="en-US" w:eastAsia="zh-CN"/>
        </w:rPr>
        <w:t>附件：</w:t>
      </w:r>
    </w:p>
    <w:p>
      <w:pPr>
        <w:spacing w:before="46"/>
        <w:ind w:left="140" w:right="438" w:firstLine="0"/>
        <w:jc w:val="center"/>
        <w:rPr>
          <w:sz w:val="32"/>
        </w:rPr>
      </w:pPr>
      <w:r>
        <w:rPr>
          <w:sz w:val="32"/>
        </w:rPr>
        <w:t>重医大发﹝</w:t>
      </w:r>
      <w:r>
        <w:rPr>
          <w:rFonts w:ascii="Times New Roman" w:eastAsia="Times New Roman"/>
          <w:sz w:val="32"/>
        </w:rPr>
        <w:t>2020</w:t>
      </w:r>
      <w:r>
        <w:rPr>
          <w:sz w:val="32"/>
        </w:rPr>
        <w:t xml:space="preserve">﹞ </w:t>
      </w:r>
      <w:r>
        <w:rPr>
          <w:rFonts w:ascii="Times New Roman" w:eastAsia="Times New Roman"/>
          <w:sz w:val="32"/>
        </w:rPr>
        <w:t xml:space="preserve">37 </w:t>
      </w:r>
      <w:r>
        <w:rPr>
          <w:sz w:val="32"/>
        </w:rPr>
        <w:t>号</w:t>
      </w:r>
    </w:p>
    <w:p>
      <w:pPr>
        <w:pStyle w:val="2"/>
        <w:spacing w:before="7"/>
        <w:ind w:left="0" w:firstLine="0"/>
        <w:rPr>
          <w:sz w:val="33"/>
        </w:rPr>
      </w:pPr>
    </w:p>
    <w:p>
      <w:pPr>
        <w:spacing w:before="0"/>
        <w:ind w:left="140" w:right="438" w:firstLine="0"/>
        <w:jc w:val="center"/>
        <w:rPr>
          <w:b/>
          <w:sz w:val="44"/>
        </w:rPr>
      </w:pPr>
      <w:r>
        <w:rPr>
          <w:b/>
          <w:sz w:val="44"/>
        </w:rPr>
        <w:t>重庆医科大学</w:t>
      </w:r>
    </w:p>
    <w:p>
      <w:pPr>
        <w:spacing w:before="0"/>
        <w:ind w:left="140" w:right="439" w:firstLine="0"/>
        <w:jc w:val="center"/>
        <w:rPr>
          <w:b/>
          <w:sz w:val="44"/>
        </w:rPr>
      </w:pPr>
      <w:r>
        <w:rPr>
          <w:b/>
          <w:sz w:val="44"/>
        </w:rPr>
        <w:t>关于印发重庆医科大学</w:t>
      </w:r>
    </w:p>
    <w:p>
      <w:pPr>
        <w:spacing w:before="60" w:line="266" w:lineRule="auto"/>
        <w:ind w:left="140" w:right="439" w:firstLine="0"/>
        <w:jc w:val="center"/>
        <w:rPr>
          <w:b/>
          <w:sz w:val="44"/>
        </w:rPr>
      </w:pPr>
      <w:r>
        <w:rPr>
          <w:b/>
          <w:w w:val="95"/>
          <w:sz w:val="44"/>
        </w:rPr>
        <w:t>成人高等教育本科（专升本）学生学士学位</w:t>
      </w:r>
      <w:r>
        <w:rPr>
          <w:b/>
          <w:sz w:val="44"/>
        </w:rPr>
        <w:t>授予实施细则（修订）的通知</w:t>
      </w:r>
    </w:p>
    <w:p>
      <w:pPr>
        <w:pStyle w:val="2"/>
        <w:spacing w:before="6"/>
        <w:ind w:left="0" w:firstLine="0"/>
        <w:rPr>
          <w:b/>
          <w:sz w:val="54"/>
        </w:rPr>
      </w:pPr>
    </w:p>
    <w:p>
      <w:pPr>
        <w:spacing w:before="0" w:line="340" w:lineRule="auto"/>
        <w:ind w:left="781" w:right="441" w:hanging="641"/>
        <w:jc w:val="left"/>
        <w:rPr>
          <w:rFonts w:hint="eastAsia" w:ascii="仿宋" w:eastAsia="仿宋"/>
          <w:sz w:val="32"/>
        </w:rPr>
      </w:pPr>
      <w:r>
        <w:rPr>
          <w:rFonts w:hint="eastAsia" w:ascii="仿宋" w:eastAsia="仿宋"/>
          <w:sz w:val="32"/>
        </w:rPr>
        <w:t xml:space="preserve">学校各直属单位、处（室、院、管委会），各有关单位： </w:t>
      </w:r>
      <w:r>
        <w:rPr>
          <w:rFonts w:hint="eastAsia" w:ascii="仿宋" w:eastAsia="仿宋"/>
          <w:spacing w:val="-1"/>
          <w:w w:val="95"/>
          <w:sz w:val="32"/>
        </w:rPr>
        <w:t>为保证成人高等教育本科</w:t>
      </w:r>
      <w:r>
        <w:rPr>
          <w:rFonts w:hint="eastAsia" w:ascii="仿宋" w:eastAsia="仿宋"/>
          <w:w w:val="95"/>
          <w:sz w:val="32"/>
        </w:rPr>
        <w:t>（专升本</w:t>
      </w:r>
      <w:r>
        <w:rPr>
          <w:rFonts w:hint="eastAsia" w:ascii="仿宋" w:eastAsia="仿宋"/>
          <w:spacing w:val="-8"/>
          <w:w w:val="95"/>
          <w:sz w:val="32"/>
        </w:rPr>
        <w:t>）</w:t>
      </w:r>
      <w:r>
        <w:rPr>
          <w:rFonts w:hint="eastAsia" w:ascii="仿宋" w:eastAsia="仿宋"/>
          <w:spacing w:val="-2"/>
          <w:w w:val="95"/>
          <w:sz w:val="32"/>
        </w:rPr>
        <w:t>毕业生学士学位的</w:t>
      </w:r>
    </w:p>
    <w:p>
      <w:pPr>
        <w:spacing w:before="0" w:line="309" w:lineRule="exact"/>
        <w:ind w:left="140" w:right="0" w:firstLine="0"/>
        <w:jc w:val="left"/>
        <w:rPr>
          <w:rFonts w:hint="eastAsia" w:ascii="仿宋" w:eastAsia="仿宋"/>
          <w:sz w:val="32"/>
        </w:rPr>
      </w:pPr>
      <w:r>
        <w:rPr>
          <w:rFonts w:hint="eastAsia" w:ascii="仿宋" w:eastAsia="仿宋"/>
          <w:spacing w:val="-3"/>
          <w:w w:val="95"/>
          <w:sz w:val="32"/>
        </w:rPr>
        <w:t>质量，根据《中华人民共和国学位条例》、《国务院学位委</w:t>
      </w:r>
    </w:p>
    <w:p>
      <w:pPr>
        <w:spacing w:before="70" w:line="280" w:lineRule="auto"/>
        <w:ind w:left="140" w:right="116" w:firstLine="0"/>
        <w:jc w:val="left"/>
        <w:rPr>
          <w:rFonts w:hint="eastAsia" w:ascii="仿宋" w:eastAsia="仿宋"/>
          <w:sz w:val="32"/>
        </w:rPr>
      </w:pPr>
      <w:r>
        <w:rPr>
          <w:rFonts w:hint="eastAsia" w:ascii="仿宋" w:eastAsia="仿宋"/>
          <w:spacing w:val="-1"/>
          <w:sz w:val="32"/>
        </w:rPr>
        <w:t>员会关于印发&lt;学士学位授权与授予管理办法&gt;的通知》</w:t>
      </w:r>
      <w:r>
        <w:rPr>
          <w:rFonts w:hint="eastAsia" w:ascii="仿宋" w:eastAsia="仿宋"/>
          <w:sz w:val="32"/>
        </w:rPr>
        <w:t xml:space="preserve">（学 </w:t>
      </w:r>
      <w:r>
        <w:rPr>
          <w:rFonts w:hint="eastAsia" w:ascii="仿宋" w:eastAsia="仿宋"/>
          <w:spacing w:val="-9"/>
          <w:sz w:val="32"/>
        </w:rPr>
        <w:t>位【</w:t>
      </w:r>
      <w:r>
        <w:rPr>
          <w:rFonts w:hint="eastAsia" w:ascii="仿宋" w:eastAsia="仿宋"/>
          <w:sz w:val="32"/>
        </w:rPr>
        <w:t>2019</w:t>
      </w:r>
      <w:r>
        <w:rPr>
          <w:rFonts w:hint="eastAsia" w:ascii="仿宋" w:eastAsia="仿宋"/>
          <w:spacing w:val="-17"/>
          <w:sz w:val="32"/>
        </w:rPr>
        <w:t>】</w:t>
      </w:r>
      <w:r>
        <w:rPr>
          <w:rFonts w:hint="eastAsia" w:ascii="仿宋" w:eastAsia="仿宋"/>
          <w:sz w:val="32"/>
        </w:rPr>
        <w:t>20</w:t>
      </w:r>
      <w:r>
        <w:rPr>
          <w:rFonts w:hint="eastAsia" w:ascii="仿宋" w:eastAsia="仿宋"/>
          <w:spacing w:val="-39"/>
          <w:sz w:val="32"/>
        </w:rPr>
        <w:t xml:space="preserve"> 号</w:t>
      </w:r>
      <w:r>
        <w:rPr>
          <w:rFonts w:hint="eastAsia" w:ascii="仿宋" w:eastAsia="仿宋"/>
          <w:spacing w:val="-17"/>
          <w:sz w:val="32"/>
        </w:rPr>
        <w:t>）</w:t>
      </w:r>
      <w:r>
        <w:rPr>
          <w:rFonts w:hint="eastAsia" w:ascii="仿宋" w:eastAsia="仿宋"/>
          <w:spacing w:val="-6"/>
          <w:sz w:val="32"/>
        </w:rPr>
        <w:t>、《重庆市学位委员会关于贯彻落实学士学位授权与授予管理办法有关规定的通知</w:t>
      </w:r>
      <w:r>
        <w:rPr>
          <w:rFonts w:hint="eastAsia" w:ascii="仿宋" w:eastAsia="仿宋"/>
          <w:spacing w:val="-221"/>
          <w:sz w:val="32"/>
        </w:rPr>
        <w:t>》</w:t>
      </w:r>
      <w:r>
        <w:rPr>
          <w:rFonts w:hint="eastAsia" w:ascii="仿宋" w:eastAsia="仿宋"/>
          <w:sz w:val="32"/>
        </w:rPr>
        <w:t>（</w:t>
      </w:r>
      <w:r>
        <w:rPr>
          <w:rFonts w:hint="eastAsia" w:ascii="仿宋" w:eastAsia="仿宋"/>
          <w:spacing w:val="-23"/>
          <w:sz w:val="32"/>
        </w:rPr>
        <w:t>渝学位发【</w:t>
      </w:r>
      <w:r>
        <w:rPr>
          <w:rFonts w:hint="eastAsia" w:ascii="仿宋" w:eastAsia="仿宋"/>
          <w:sz w:val="32"/>
        </w:rPr>
        <w:t>2019</w:t>
      </w:r>
      <w:r>
        <w:rPr>
          <w:rFonts w:hint="eastAsia" w:ascii="仿宋" w:eastAsia="仿宋"/>
          <w:spacing w:val="-11"/>
          <w:sz w:val="32"/>
        </w:rPr>
        <w:t>】</w:t>
      </w:r>
      <w:r>
        <w:rPr>
          <w:rFonts w:hint="eastAsia" w:ascii="仿宋" w:eastAsia="仿宋"/>
          <w:sz w:val="32"/>
        </w:rPr>
        <w:t>3</w:t>
      </w:r>
      <w:r>
        <w:rPr>
          <w:rFonts w:hint="eastAsia" w:ascii="仿宋" w:eastAsia="仿宋"/>
          <w:spacing w:val="-75"/>
          <w:sz w:val="32"/>
        </w:rPr>
        <w:t xml:space="preserve"> </w:t>
      </w:r>
      <w:r>
        <w:rPr>
          <w:rFonts w:hint="eastAsia" w:ascii="仿宋" w:eastAsia="仿宋"/>
          <w:sz w:val="32"/>
        </w:rPr>
        <w:t>号</w:t>
      </w:r>
      <w:r>
        <w:rPr>
          <w:rFonts w:hint="eastAsia" w:ascii="仿宋" w:eastAsia="仿宋"/>
          <w:spacing w:val="-60"/>
          <w:sz w:val="32"/>
        </w:rPr>
        <w:t>）</w:t>
      </w:r>
      <w:r>
        <w:rPr>
          <w:rFonts w:hint="eastAsia" w:ascii="仿宋" w:eastAsia="仿宋"/>
          <w:spacing w:val="-15"/>
          <w:sz w:val="32"/>
        </w:rPr>
        <w:t>文件要求，现对《重庆医科大学成人高等教育本科</w:t>
      </w:r>
      <w:r>
        <w:rPr>
          <w:rFonts w:hint="eastAsia" w:ascii="仿宋" w:eastAsia="仿宋"/>
          <w:sz w:val="32"/>
        </w:rPr>
        <w:t>（专升本</w:t>
      </w:r>
      <w:r>
        <w:rPr>
          <w:rFonts w:hint="eastAsia" w:ascii="仿宋" w:eastAsia="仿宋"/>
          <w:spacing w:val="-5"/>
          <w:sz w:val="32"/>
        </w:rPr>
        <w:t>）</w:t>
      </w:r>
      <w:r>
        <w:rPr>
          <w:rFonts w:hint="eastAsia" w:ascii="仿宋" w:eastAsia="仿宋"/>
          <w:spacing w:val="-2"/>
          <w:sz w:val="32"/>
        </w:rPr>
        <w:t>学生学士学位授予实施细则》进行修订，经校学位评</w:t>
      </w:r>
      <w:bookmarkStart w:id="0" w:name="_GoBack"/>
      <w:bookmarkEnd w:id="0"/>
      <w:r>
        <w:rPr>
          <w:rFonts w:hint="eastAsia" w:ascii="仿宋" w:eastAsia="仿宋"/>
          <w:spacing w:val="-2"/>
          <w:sz w:val="32"/>
        </w:rPr>
        <w:t>定委员会研究通过，现印发给你们，请认真贯彻执行。</w:t>
      </w:r>
    </w:p>
    <w:p>
      <w:pPr>
        <w:pStyle w:val="2"/>
        <w:spacing w:before="0"/>
        <w:ind w:left="0" w:firstLine="0"/>
        <w:rPr>
          <w:rFonts w:ascii="仿宋"/>
          <w:sz w:val="32"/>
        </w:rPr>
      </w:pPr>
    </w:p>
    <w:p>
      <w:pPr>
        <w:spacing w:before="257" w:line="364" w:lineRule="auto"/>
        <w:ind w:left="5834" w:right="572" w:firstLine="158"/>
        <w:jc w:val="left"/>
        <w:rPr>
          <w:rFonts w:hint="eastAsia" w:ascii="仿宋" w:eastAsia="仿宋"/>
          <w:sz w:val="32"/>
        </w:rPr>
      </w:pPr>
      <w:r>
        <w:rPr>
          <w:rFonts w:hint="eastAsia" w:ascii="仿宋" w:eastAsia="仿宋"/>
          <w:sz w:val="32"/>
        </w:rPr>
        <w:t>重庆医科大学2020</w:t>
      </w:r>
      <w:r>
        <w:rPr>
          <w:rFonts w:hint="eastAsia" w:ascii="仿宋" w:eastAsia="仿宋"/>
          <w:spacing w:val="-55"/>
          <w:sz w:val="32"/>
        </w:rPr>
        <w:t xml:space="preserve"> 年 </w:t>
      </w:r>
      <w:r>
        <w:rPr>
          <w:rFonts w:hint="eastAsia" w:ascii="仿宋" w:eastAsia="仿宋"/>
          <w:sz w:val="32"/>
        </w:rPr>
        <w:t>5</w:t>
      </w:r>
      <w:r>
        <w:rPr>
          <w:rFonts w:hint="eastAsia" w:ascii="仿宋" w:eastAsia="仿宋"/>
          <w:spacing w:val="-55"/>
          <w:sz w:val="32"/>
        </w:rPr>
        <w:t xml:space="preserve"> 月 </w:t>
      </w:r>
      <w:r>
        <w:rPr>
          <w:rFonts w:hint="eastAsia" w:ascii="仿宋" w:eastAsia="仿宋"/>
          <w:sz w:val="32"/>
        </w:rPr>
        <w:t>15</w:t>
      </w:r>
      <w:r>
        <w:rPr>
          <w:rFonts w:hint="eastAsia" w:ascii="仿宋" w:eastAsia="仿宋"/>
          <w:spacing w:val="-47"/>
          <w:sz w:val="32"/>
        </w:rPr>
        <w:t xml:space="preserve"> 日</w:t>
      </w:r>
    </w:p>
    <w:p>
      <w:pPr>
        <w:spacing w:after="0" w:line="364" w:lineRule="auto"/>
        <w:jc w:val="left"/>
        <w:rPr>
          <w:rFonts w:hint="eastAsia" w:ascii="仿宋" w:eastAsia="仿宋"/>
          <w:sz w:val="32"/>
        </w:rPr>
        <w:sectPr>
          <w:type w:val="continuous"/>
          <w:pgSz w:w="11910" w:h="16840"/>
          <w:pgMar w:top="1440" w:right="1360" w:bottom="280" w:left="1660" w:header="720" w:footer="720" w:gutter="0"/>
        </w:sectPr>
      </w:pPr>
    </w:p>
    <w:p>
      <w:pPr>
        <w:spacing w:before="26"/>
        <w:ind w:left="140" w:right="433" w:firstLine="0"/>
        <w:jc w:val="center"/>
        <w:rPr>
          <w:b/>
          <w:sz w:val="32"/>
        </w:rPr>
      </w:pPr>
      <w:r>
        <w:rPr>
          <w:b/>
          <w:sz w:val="32"/>
        </w:rPr>
        <w:t>重庆医科大学</w:t>
      </w:r>
    </w:p>
    <w:p>
      <w:pPr>
        <w:spacing w:before="70" w:line="280" w:lineRule="auto"/>
        <w:ind w:left="1242" w:right="1541" w:firstLine="0"/>
        <w:jc w:val="center"/>
        <w:rPr>
          <w:b/>
          <w:sz w:val="32"/>
        </w:rPr>
      </w:pPr>
      <w:r>
        <w:rPr>
          <w:b/>
          <w:sz w:val="32"/>
        </w:rPr>
        <w:t>成人高等教育本科（专升本）学生学士学位授予实施细则（修订）</w:t>
      </w:r>
    </w:p>
    <w:p>
      <w:pPr>
        <w:pStyle w:val="2"/>
        <w:spacing w:before="8"/>
        <w:ind w:left="0" w:firstLine="0"/>
        <w:rPr>
          <w:b/>
          <w:sz w:val="38"/>
        </w:rPr>
      </w:pPr>
    </w:p>
    <w:p>
      <w:pPr>
        <w:pStyle w:val="2"/>
        <w:spacing w:line="364" w:lineRule="auto"/>
        <w:ind w:right="436"/>
        <w:jc w:val="both"/>
      </w:pPr>
      <w:r>
        <w:rPr>
          <w:spacing w:val="-3"/>
        </w:rPr>
        <w:t>第一条 为保证成人高等教育本科</w:t>
      </w:r>
      <w:r>
        <w:t>（或专升本</w:t>
      </w:r>
      <w:r>
        <w:rPr>
          <w:spacing w:val="-32"/>
        </w:rPr>
        <w:t>）</w:t>
      </w:r>
      <w:r>
        <w:rPr>
          <w:spacing w:val="-4"/>
        </w:rPr>
        <w:t>毕业生学士学位的质量，根</w:t>
      </w:r>
      <w:r>
        <w:t>据《中华人民共和国学位条例》、《国务院学位委员会关于印发&lt;学士学位授权</w:t>
      </w:r>
      <w:r>
        <w:rPr>
          <w:spacing w:val="-1"/>
        </w:rPr>
        <w:t>与授予管理办法&gt;的通知》</w:t>
      </w:r>
      <w:r>
        <w:t>（</w:t>
      </w:r>
      <w:r>
        <w:rPr>
          <w:spacing w:val="-2"/>
        </w:rPr>
        <w:t>学位【</w:t>
      </w:r>
      <w:r>
        <w:t>2019</w:t>
      </w:r>
      <w:r>
        <w:rPr>
          <w:spacing w:val="-5"/>
        </w:rPr>
        <w:t>】</w:t>
      </w:r>
      <w:r>
        <w:t>20</w:t>
      </w:r>
      <w:r>
        <w:rPr>
          <w:spacing w:val="-31"/>
        </w:rPr>
        <w:t xml:space="preserve"> 号</w:t>
      </w:r>
      <w:r>
        <w:rPr>
          <w:spacing w:val="-5"/>
        </w:rPr>
        <w:t>）</w:t>
      </w:r>
      <w:r>
        <w:rPr>
          <w:spacing w:val="-4"/>
        </w:rPr>
        <w:t>、《重庆市学位委员会关于贯</w:t>
      </w:r>
      <w:r>
        <w:t>彻落实学士学位授权与授予管理办法有关规定的通知</w:t>
      </w:r>
      <w:r>
        <w:rPr>
          <w:spacing w:val="-207"/>
        </w:rPr>
        <w:t>》</w:t>
      </w:r>
      <w:r>
        <w:t>（</w:t>
      </w:r>
      <w:r>
        <w:rPr>
          <w:spacing w:val="-21"/>
        </w:rPr>
        <w:t>渝学位发【</w:t>
      </w:r>
      <w:r>
        <w:t>20</w:t>
      </w:r>
      <w:r>
        <w:rPr>
          <w:spacing w:val="2"/>
        </w:rPr>
        <w:t>1</w:t>
      </w:r>
      <w:r>
        <w:t>9</w:t>
      </w:r>
      <w:r>
        <w:rPr>
          <w:spacing w:val="-104"/>
        </w:rPr>
        <w:t>】</w:t>
      </w:r>
      <w:r>
        <w:t>3</w:t>
      </w:r>
      <w:r>
        <w:rPr>
          <w:spacing w:val="-30"/>
        </w:rPr>
        <w:t xml:space="preserve"> 号</w:t>
      </w:r>
      <w:r>
        <w:rPr>
          <w:spacing w:val="-111"/>
        </w:rPr>
        <w:t>）</w:t>
      </w:r>
      <w:r>
        <w:rPr>
          <w:spacing w:val="-7"/>
        </w:rPr>
        <w:t>，</w:t>
      </w:r>
      <w:r>
        <w:t>结合重庆医科大学成人高等教育学生学籍管理有关规定，特制定本实施细则。</w:t>
      </w:r>
    </w:p>
    <w:p>
      <w:pPr>
        <w:pStyle w:val="2"/>
        <w:spacing w:before="3" w:line="364" w:lineRule="auto"/>
        <w:ind w:right="437"/>
        <w:jc w:val="both"/>
      </w:pPr>
      <w:r>
        <w:rPr>
          <w:spacing w:val="-2"/>
        </w:rPr>
        <w:t>第二条 成人高等教育各种办学形式培养的本科</w:t>
      </w:r>
      <w:r>
        <w:t>（或专升本</w:t>
      </w:r>
      <w:r>
        <w:rPr>
          <w:spacing w:val="-32"/>
        </w:rPr>
        <w:t>）</w:t>
      </w:r>
      <w:r>
        <w:rPr>
          <w:spacing w:val="-9"/>
        </w:rPr>
        <w:t>毕业生，系指</w:t>
      </w:r>
      <w:r>
        <w:rPr>
          <w:spacing w:val="-10"/>
        </w:rPr>
        <w:t>教育部批准，国家承认其学历的普通高等学校举办的业余、夜大和全日制成人教</w:t>
      </w:r>
      <w:r>
        <w:t>育本科（或专升本）班以及通过高等教育自学考试取得本科学历的毕业生。</w:t>
      </w:r>
    </w:p>
    <w:p>
      <w:pPr>
        <w:pStyle w:val="2"/>
        <w:spacing w:before="2" w:line="364" w:lineRule="auto"/>
        <w:ind w:right="437"/>
        <w:jc w:val="both"/>
      </w:pPr>
      <w:r>
        <w:t>第三条 我校学位评定委员会拥有成人高等教育学士学位授予权，对经校学位评定委员会审核批准的学生，由学校授予学士学位。</w:t>
      </w:r>
    </w:p>
    <w:p>
      <w:pPr>
        <w:pStyle w:val="2"/>
        <w:spacing w:before="2" w:line="364" w:lineRule="auto"/>
        <w:ind w:right="437"/>
        <w:jc w:val="both"/>
      </w:pPr>
      <w:r>
        <w:t>第四条 成人高等教育本科（或专升本）毕业生学士学位的授予坚持择优的原则，符合下述要求者，方可授予学士学位。</w:t>
      </w:r>
    </w:p>
    <w:p>
      <w:pPr>
        <w:pStyle w:val="2"/>
        <w:spacing w:line="364" w:lineRule="auto"/>
        <w:ind w:right="437"/>
      </w:pPr>
      <w:r>
        <w:t>（一</w:t>
      </w:r>
      <w:r>
        <w:rPr>
          <w:spacing w:val="-17"/>
        </w:rPr>
        <w:t>）</w:t>
      </w:r>
      <w:r>
        <w:rPr>
          <w:spacing w:val="-9"/>
        </w:rPr>
        <w:t>拥护党的路线、方针、政策，热爱社会主义祖国，遵纪守法，品行端</w:t>
      </w:r>
      <w:r>
        <w:t>正。</w:t>
      </w:r>
    </w:p>
    <w:p>
      <w:pPr>
        <w:pStyle w:val="2"/>
        <w:spacing w:line="364" w:lineRule="auto"/>
        <w:ind w:right="437"/>
      </w:pPr>
      <w:r>
        <w:t>（二）具有正式学籍，在规定的学习年限内，按专业培养计划修完规定的全部课程，成绩合格，且必修课程综合平均成绩达到或高于 70 分。</w:t>
      </w:r>
    </w:p>
    <w:p>
      <w:pPr>
        <w:pStyle w:val="2"/>
        <w:spacing w:line="364" w:lineRule="auto"/>
        <w:ind w:right="437"/>
      </w:pPr>
      <w:r>
        <w:t>（三）我校以全国大学英语四六级考试“CET4”作为高等学历继续教育本科毕业生学业水平测试(高等教育自学考试除外)，在本科学习阶段，参加我校组织的全国大学英语四六级考试“CET4”，笔试成绩达到或高于 350 分即认定为学业水平测试合格，可以申请授予学士学位，“CET4”口语考试不作要求。</w:t>
      </w:r>
    </w:p>
    <w:p>
      <w:pPr>
        <w:pStyle w:val="2"/>
        <w:spacing w:before="3" w:line="364" w:lineRule="auto"/>
        <w:ind w:right="316"/>
      </w:pPr>
      <w:r>
        <w:t>（四</w:t>
      </w:r>
      <w:r>
        <w:rPr>
          <w:spacing w:val="-84"/>
        </w:rPr>
        <w:t>）</w:t>
      </w:r>
      <w:r>
        <w:rPr>
          <w:spacing w:val="-7"/>
        </w:rPr>
        <w:t>高等教育自学考试本科考生以参加的高等教育自学考试《英语</w:t>
      </w:r>
      <w:r>
        <w:t>（二</w:t>
      </w:r>
      <w:r>
        <w:rPr>
          <w:spacing w:val="-84"/>
        </w:rPr>
        <w:t>）</w:t>
      </w:r>
      <w:r>
        <w:t>》</w:t>
      </w:r>
      <w:r>
        <w:rPr>
          <w:spacing w:val="-11"/>
        </w:rPr>
        <w:t xml:space="preserve">课程考试作为学业水平测试，成绩达到或高于 </w:t>
      </w:r>
      <w:r>
        <w:t>70</w:t>
      </w:r>
      <w:r>
        <w:rPr>
          <w:spacing w:val="-9"/>
        </w:rPr>
        <w:t xml:space="preserve"> 分即认定为学业水平测试合格， </w:t>
      </w:r>
      <w:r>
        <w:t>可以申请授予学士学位。</w:t>
      </w:r>
    </w:p>
    <w:p>
      <w:pPr>
        <w:pStyle w:val="2"/>
        <w:tabs>
          <w:tab w:val="left" w:pos="1580"/>
        </w:tabs>
        <w:spacing w:before="2"/>
        <w:ind w:left="620" w:firstLine="0"/>
      </w:pPr>
      <w:r>
        <w:t>第五条</w:t>
      </w:r>
      <w:r>
        <w:tab/>
      </w:r>
      <w:r>
        <w:t>凡有下列情况之一者，不能授予学士学位：</w:t>
      </w:r>
    </w:p>
    <w:p>
      <w:pPr>
        <w:pStyle w:val="2"/>
        <w:spacing w:before="161"/>
        <w:ind w:left="620" w:firstLine="0"/>
      </w:pPr>
      <w:r>
        <w:t>（一）在校学习期间，违反重庆医科大学学生有关管理规定，受到留校察看</w:t>
      </w:r>
    </w:p>
    <w:p>
      <w:pPr>
        <w:spacing w:after="0"/>
        <w:sectPr>
          <w:pgSz w:w="11910" w:h="16840"/>
          <w:pgMar w:top="1460" w:right="1360" w:bottom="280" w:left="1660" w:header="720" w:footer="720" w:gutter="0"/>
        </w:sectPr>
      </w:pPr>
    </w:p>
    <w:p>
      <w:pPr>
        <w:pStyle w:val="2"/>
        <w:spacing w:before="41"/>
        <w:ind w:firstLine="0"/>
      </w:pPr>
      <w:r>
        <w:t>及以上处分者。</w:t>
      </w:r>
    </w:p>
    <w:p>
      <w:pPr>
        <w:pStyle w:val="2"/>
        <w:spacing w:before="160"/>
        <w:ind w:left="620" w:firstLine="0"/>
      </w:pPr>
      <w:r>
        <w:t>（二）学生毕业时做结业处理，未能取得毕业证书者。</w:t>
      </w:r>
    </w:p>
    <w:p>
      <w:pPr>
        <w:pStyle w:val="2"/>
        <w:spacing w:before="161"/>
        <w:ind w:left="620" w:firstLine="0"/>
      </w:pPr>
      <w:r>
        <w:t>（三）必修课程综合平均成绩低于 70 分者。</w:t>
      </w:r>
    </w:p>
    <w:p>
      <w:pPr>
        <w:pStyle w:val="2"/>
        <w:spacing w:before="160" w:line="364" w:lineRule="auto"/>
        <w:ind w:right="436"/>
      </w:pPr>
      <w:r>
        <w:t>（四</w:t>
      </w:r>
      <w:r>
        <w:rPr>
          <w:spacing w:val="-48"/>
        </w:rPr>
        <w:t>）</w:t>
      </w:r>
      <w:r>
        <w:rPr>
          <w:spacing w:val="-4"/>
        </w:rPr>
        <w:t>高等学历继续教育本科学业水平测试不合格者，即成人教育本科生参</w:t>
      </w:r>
      <w:r>
        <w:rPr>
          <w:spacing w:val="-3"/>
        </w:rPr>
        <w:t>加全国大学英语四级考试</w:t>
      </w:r>
      <w:r>
        <w:rPr>
          <w:spacing w:val="-6"/>
        </w:rPr>
        <w:t>（CET4）</w:t>
      </w:r>
      <w:r>
        <w:rPr>
          <w:spacing w:val="-9"/>
        </w:rPr>
        <w:t xml:space="preserve">笔试成绩低于 </w:t>
      </w:r>
      <w:r>
        <w:t>350</w:t>
      </w:r>
      <w:r>
        <w:rPr>
          <w:spacing w:val="-11"/>
        </w:rPr>
        <w:t xml:space="preserve"> 分、高等教育自学考试本科</w:t>
      </w:r>
    </w:p>
    <w:p>
      <w:pPr>
        <w:pStyle w:val="2"/>
        <w:spacing w:before="2"/>
        <w:ind w:firstLine="0"/>
      </w:pPr>
      <w:r>
        <w:pict>
          <v:group id="_x0000_s1026" o:spid="_x0000_s1026" o:spt="203" style="position:absolute;left:0pt;margin-left:88.55pt;margin-top:19.5pt;height:140.45pt;width:422.8pt;mso-position-horizontal-relative:page;mso-wrap-distance-bottom:0pt;mso-wrap-distance-top:0pt;z-index:-251657216;mso-width-relative:page;mso-height-relative:page;" coordorigin="1772,391" coordsize="8456,2809">
            <o:lock v:ext="edit"/>
            <v:rect id="_x0000_s1027" o:spid="_x0000_s1027" o:spt="1" style="position:absolute;left:1771;top:390;height:468;width:8366;" fillcolor="#F8F7FC" filled="t" stroked="f" coordsize="21600,21600">
              <v:path/>
              <v:fill on="t" focussize="0,0"/>
              <v:stroke on="f"/>
              <v:imagedata o:title=""/>
              <o:lock v:ext="edit"/>
            </v:rect>
            <v:rect id="_x0000_s1028" o:spid="_x0000_s1028" o:spt="1" style="position:absolute;left:1771;top:858;height:469;width:8366;" fillcolor="#F8F7FC" filled="t" stroked="f" coordsize="21600,21600">
              <v:path/>
              <v:fill on="t" focussize="0,0"/>
              <v:stroke on="f"/>
              <v:imagedata o:title=""/>
              <o:lock v:ext="edit"/>
            </v:rect>
            <v:rect id="_x0000_s1029" o:spid="_x0000_s1029" o:spt="1" style="position:absolute;left:1771;top:1327;height:468;width:8366;" fillcolor="#F8F7FC" filled="t" stroked="f" coordsize="21600,21600">
              <v:path/>
              <v:fill on="t" focussize="0,0"/>
              <v:stroke on="f"/>
              <v:imagedata o:title=""/>
              <o:lock v:ext="edit"/>
            </v:rect>
            <v:rect id="_x0000_s1030" o:spid="_x0000_s1030" o:spt="1" style="position:absolute;left:1771;top:1795;height:468;width:8366;" fillcolor="#F8F7FC" filled="t" stroked="f" coordsize="21600,21600">
              <v:path/>
              <v:fill on="t" focussize="0,0"/>
              <v:stroke on="f"/>
              <v:imagedata o:title=""/>
              <o:lock v:ext="edit"/>
            </v:rect>
            <v:rect id="_x0000_s1031" o:spid="_x0000_s1031" o:spt="1" style="position:absolute;left:1771;top:2263;height:468;width:8366;" fillcolor="#F8F7FC" filled="t" stroked="f" coordsize="21600,21600">
              <v:path/>
              <v:fill on="t" focussize="0,0"/>
              <v:stroke on="f"/>
              <v:imagedata o:title=""/>
              <o:lock v:ext="edit"/>
            </v:rect>
            <v:rect id="_x0000_s1032" o:spid="_x0000_s1032" o:spt="1" style="position:absolute;left:1771;top:2731;height:468;width:8366;" fillcolor="#F8F7FC" filled="t" stroked="f" coordsize="21600,21600">
              <v:path/>
              <v:fill on="t" focussize="0,0"/>
              <v:stroke on="f"/>
              <v:imagedata o:title=""/>
              <o:lock v:ext="edit"/>
            </v:rect>
            <v:shape id="_x0000_s1033" o:spid="_x0000_s1033" o:spt="202" type="#_x0000_t202" style="position:absolute;left:1771;top:390;height:2809;width:8456;" filled="f" stroked="f" coordsize="21600,21600">
              <v:path/>
              <v:fill on="f" focussize="0,0"/>
              <v:stroke on="f" joinstyle="miter"/>
              <v:imagedata o:title=""/>
              <o:lock v:ext="edit"/>
              <v:textbox inset="0mm,0mm,0mm,0mm">
                <w:txbxContent>
                  <w:p>
                    <w:pPr>
                      <w:tabs>
                        <w:tab w:val="left" w:pos="1408"/>
                      </w:tabs>
                      <w:spacing w:before="79" w:line="364" w:lineRule="auto"/>
                      <w:ind w:left="28" w:right="0" w:firstLine="419"/>
                      <w:jc w:val="left"/>
                      <w:rPr>
                        <w:sz w:val="24"/>
                      </w:rPr>
                    </w:pPr>
                    <w:r>
                      <w:rPr>
                        <w:sz w:val="24"/>
                      </w:rPr>
                      <w:t>第六条</w:t>
                    </w:r>
                    <w:r>
                      <w:rPr>
                        <w:sz w:val="24"/>
                      </w:rPr>
                      <w:tab/>
                    </w:r>
                    <w:r>
                      <w:rPr>
                        <w:sz w:val="24"/>
                      </w:rPr>
                      <w:t>成人本</w:t>
                    </w:r>
                    <w:r>
                      <w:rPr>
                        <w:spacing w:val="-120"/>
                        <w:sz w:val="24"/>
                      </w:rPr>
                      <w:t>科</w:t>
                    </w:r>
                    <w:r>
                      <w:rPr>
                        <w:sz w:val="24"/>
                      </w:rPr>
                      <w:t>（或专升本</w:t>
                    </w:r>
                    <w:r>
                      <w:rPr>
                        <w:spacing w:val="-120"/>
                        <w:sz w:val="24"/>
                      </w:rPr>
                      <w:t>）</w:t>
                    </w:r>
                    <w:r>
                      <w:rPr>
                        <w:sz w:val="24"/>
                      </w:rPr>
                      <w:t>毕业生学士学位授予工作每年</w:t>
                    </w:r>
                    <w:r>
                      <w:rPr>
                        <w:spacing w:val="-76"/>
                        <w:sz w:val="24"/>
                      </w:rPr>
                      <w:t xml:space="preserve"> </w:t>
                    </w:r>
                    <w:r>
                      <w:rPr>
                        <w:sz w:val="24"/>
                      </w:rPr>
                      <w:t>6</w:t>
                    </w:r>
                    <w:r>
                      <w:rPr>
                        <w:spacing w:val="-77"/>
                        <w:sz w:val="24"/>
                      </w:rPr>
                      <w:t xml:space="preserve"> </w:t>
                    </w:r>
                    <w:r>
                      <w:rPr>
                        <w:sz w:val="24"/>
                      </w:rPr>
                      <w:t>月开始启动， 授位时间根据校学位评定委员会召开时间确定</w:t>
                    </w:r>
                    <w:r>
                      <w:rPr>
                        <w:spacing w:val="-32"/>
                        <w:sz w:val="24"/>
                      </w:rPr>
                      <w:t>，</w:t>
                    </w:r>
                    <w:r>
                      <w:rPr>
                        <w:sz w:val="24"/>
                      </w:rPr>
                      <w:t>原则上应届本</w:t>
                    </w:r>
                    <w:r>
                      <w:rPr>
                        <w:spacing w:val="-32"/>
                        <w:sz w:val="24"/>
                      </w:rPr>
                      <w:t>科</w:t>
                    </w:r>
                    <w:r>
                      <w:rPr>
                        <w:sz w:val="24"/>
                      </w:rPr>
                      <w:t>（或专升本</w:t>
                    </w:r>
                    <w:r>
                      <w:rPr>
                        <w:spacing w:val="-32"/>
                        <w:sz w:val="24"/>
                      </w:rPr>
                      <w:t>）</w:t>
                    </w:r>
                    <w:r>
                      <w:rPr>
                        <w:sz w:val="24"/>
                      </w:rPr>
                      <w:t>毕业生均为</w:t>
                    </w:r>
                    <w:r>
                      <w:rPr>
                        <w:spacing w:val="-61"/>
                        <w:sz w:val="24"/>
                      </w:rPr>
                      <w:t xml:space="preserve"> </w:t>
                    </w:r>
                    <w:r>
                      <w:rPr>
                        <w:sz w:val="24"/>
                      </w:rPr>
                      <w:t>6</w:t>
                    </w:r>
                    <w:r>
                      <w:rPr>
                        <w:spacing w:val="-60"/>
                        <w:sz w:val="24"/>
                      </w:rPr>
                      <w:t xml:space="preserve"> </w:t>
                    </w:r>
                    <w:r>
                      <w:rPr>
                        <w:sz w:val="24"/>
                      </w:rPr>
                      <w:t>月授位</w:t>
                    </w:r>
                    <w:r>
                      <w:rPr>
                        <w:spacing w:val="-94"/>
                        <w:sz w:val="24"/>
                      </w:rPr>
                      <w:t>。</w:t>
                    </w:r>
                    <w:r>
                      <w:rPr>
                        <w:sz w:val="24"/>
                      </w:rPr>
                      <w:t>仅因高等学历继续教育本科学业水平测试不合格而不能授予学位者，可在毕业后一年内参加全国大学英语四级考试，笔试成绩达到或高于350</w:t>
                    </w:r>
                    <w:r>
                      <w:rPr>
                        <w:spacing w:val="-38"/>
                        <w:sz w:val="24"/>
                      </w:rPr>
                      <w:t xml:space="preserve"> </w:t>
                    </w:r>
                    <w:r>
                      <w:rPr>
                        <w:sz w:val="24"/>
                      </w:rPr>
                      <w:t>分者可在毕业第二年的</w:t>
                    </w:r>
                    <w:r>
                      <w:rPr>
                        <w:spacing w:val="-37"/>
                        <w:sz w:val="24"/>
                      </w:rPr>
                      <w:t xml:space="preserve"> </w:t>
                    </w:r>
                    <w:r>
                      <w:rPr>
                        <w:sz w:val="24"/>
                      </w:rPr>
                      <w:t>6</w:t>
                    </w:r>
                    <w:r>
                      <w:rPr>
                        <w:spacing w:val="-37"/>
                        <w:sz w:val="24"/>
                      </w:rPr>
                      <w:t xml:space="preserve"> </w:t>
                    </w:r>
                    <w:r>
                      <w:rPr>
                        <w:sz w:val="24"/>
                      </w:rPr>
                      <w:t>月前向学校教务处提出授予学士学位的书面申请，</w:t>
                    </w:r>
                  </w:p>
                  <w:p>
                    <w:pPr>
                      <w:spacing w:before="3"/>
                      <w:ind w:left="28" w:right="0" w:firstLine="0"/>
                      <w:jc w:val="left"/>
                      <w:rPr>
                        <w:sz w:val="24"/>
                      </w:rPr>
                    </w:pPr>
                    <w:r>
                      <w:rPr>
                        <w:sz w:val="24"/>
                      </w:rPr>
                      <w:t>经校学位评定委员会审核批准后，补授予学士学位。</w:t>
                    </w:r>
                  </w:p>
                </w:txbxContent>
              </v:textbox>
            </v:shape>
            <w10:wrap type="topAndBottom"/>
          </v:group>
        </w:pict>
      </w:r>
      <w:r>
        <w:t>生参加《英语（二）》课程考试成绩低于 70 分者。</w:t>
      </w:r>
    </w:p>
    <w:p>
      <w:pPr>
        <w:pStyle w:val="2"/>
        <w:tabs>
          <w:tab w:val="left" w:pos="1580"/>
        </w:tabs>
        <w:spacing w:before="50" w:line="364" w:lineRule="auto"/>
        <w:ind w:right="320"/>
      </w:pPr>
      <w:r>
        <w:t>第七条</w:t>
      </w:r>
      <w:r>
        <w:tab/>
      </w:r>
      <w:r>
        <w:t>学士学位授予工作程序</w:t>
      </w:r>
      <w:r>
        <w:rPr>
          <w:spacing w:val="-94"/>
        </w:rPr>
        <w:t>：</w:t>
      </w:r>
      <w:r>
        <w:t>自学考试本科学生毕业时应向学校自考办提出书面申请</w:t>
      </w:r>
      <w:r>
        <w:rPr>
          <w:spacing w:val="-94"/>
        </w:rPr>
        <w:t>，</w:t>
      </w:r>
      <w:r>
        <w:t>其它类成人高等教育应届专升本毕业生毕业时应向所在院系学生工作办公室提出书面申请</w:t>
      </w:r>
      <w:r>
        <w:rPr>
          <w:spacing w:val="-24"/>
        </w:rPr>
        <w:t>。</w:t>
      </w:r>
      <w:r>
        <w:t>学士学位管理部</w:t>
      </w:r>
      <w:r>
        <w:rPr>
          <w:spacing w:val="-24"/>
        </w:rPr>
        <w:t>门</w:t>
      </w:r>
      <w:r>
        <w:t>（教务处</w:t>
      </w:r>
      <w:r>
        <w:rPr>
          <w:spacing w:val="-24"/>
        </w:rPr>
        <w:t>）</w:t>
      </w:r>
      <w:r>
        <w:t>会同各院系</w:t>
      </w:r>
      <w:r>
        <w:rPr>
          <w:spacing w:val="-24"/>
        </w:rPr>
        <w:t>、</w:t>
      </w:r>
      <w:r>
        <w:t>学生处及学生工作办公室</w:t>
      </w:r>
      <w:r>
        <w:rPr>
          <w:spacing w:val="-108"/>
        </w:rPr>
        <w:t>、</w:t>
      </w:r>
      <w:r>
        <w:t>校自考办对毕业生的学习成绩</w:t>
      </w:r>
      <w:r>
        <w:rPr>
          <w:spacing w:val="-108"/>
        </w:rPr>
        <w:t>、</w:t>
      </w:r>
      <w:r>
        <w:t>大学英语四级考试笔试成绩单</w:t>
      </w:r>
      <w:r>
        <w:rPr>
          <w:spacing w:val="-18"/>
        </w:rPr>
        <w:t>、</w:t>
      </w:r>
      <w:r>
        <w:t>学籍档案记录等相关材料进行清理</w:t>
      </w:r>
      <w:r>
        <w:rPr>
          <w:spacing w:val="-48"/>
        </w:rPr>
        <w:t>，</w:t>
      </w:r>
      <w:r>
        <w:t>经教务处审核后</w:t>
      </w:r>
      <w:r>
        <w:rPr>
          <w:spacing w:val="-48"/>
        </w:rPr>
        <w:t>，</w:t>
      </w:r>
      <w:r>
        <w:t>将拟授学士学位名单及相关材料报校学位评定委员会审核批准</w:t>
      </w:r>
      <w:r>
        <w:rPr>
          <w:spacing w:val="-94"/>
        </w:rPr>
        <w:t>，</w:t>
      </w:r>
      <w:r>
        <w:t>同时将授予学士学位的毕业生名单报重庆市学位委员会办公室备案。</w:t>
      </w:r>
    </w:p>
    <w:p>
      <w:pPr>
        <w:pStyle w:val="2"/>
        <w:spacing w:before="4" w:line="364" w:lineRule="auto"/>
        <w:ind w:right="437"/>
        <w:jc w:val="both"/>
      </w:pPr>
      <w:r>
        <w:rPr>
          <w:spacing w:val="-3"/>
        </w:rPr>
        <w:t>第八条 授予成人高等教育本科</w:t>
      </w:r>
      <w:r>
        <w:t>（或专升本</w:t>
      </w:r>
      <w:r>
        <w:rPr>
          <w:spacing w:val="-32"/>
        </w:rPr>
        <w:t>）</w:t>
      </w:r>
      <w:r>
        <w:rPr>
          <w:spacing w:val="-5"/>
        </w:rPr>
        <w:t>毕业生学士学位，必须严格坚</w:t>
      </w:r>
      <w:r>
        <w:rPr>
          <w:spacing w:val="-12"/>
        </w:rPr>
        <w:t>持标准、保证质量、公正合理。如发现学位申请者或有关人员在申请和审核学位</w:t>
      </w:r>
      <w:r>
        <w:rPr>
          <w:spacing w:val="-8"/>
        </w:rPr>
        <w:t>的过程中徇私舞弊、弄虚作假的，一经查出，将严肃处理舞弊人员，并撤销作假</w:t>
      </w:r>
      <w:r>
        <w:t>学位申请者的学士学位。</w:t>
      </w:r>
    </w:p>
    <w:p>
      <w:pPr>
        <w:pStyle w:val="2"/>
        <w:spacing w:before="3" w:line="364" w:lineRule="auto"/>
        <w:ind w:right="435"/>
        <w:jc w:val="both"/>
      </w:pPr>
      <w:r>
        <w:rPr>
          <w:spacing w:val="-7"/>
        </w:rPr>
        <w:t xml:space="preserve">第九条 本细则从 </w:t>
      </w:r>
      <w:r>
        <w:t>2020</w:t>
      </w:r>
      <w:r>
        <w:rPr>
          <w:spacing w:val="-18"/>
        </w:rPr>
        <w:t xml:space="preserve"> 届成人高等教育本科</w:t>
      </w:r>
      <w:r>
        <w:t>（或专升本</w:t>
      </w:r>
      <w:r>
        <w:rPr>
          <w:spacing w:val="-108"/>
        </w:rPr>
        <w:t>）</w:t>
      </w:r>
      <w:r>
        <w:rPr>
          <w:spacing w:val="-2"/>
        </w:rPr>
        <w:t xml:space="preserve">毕业生开始执行， </w:t>
      </w:r>
      <w:r>
        <w:rPr>
          <w:spacing w:val="-6"/>
        </w:rPr>
        <w:t>按原学校相关规定已作处理的学位问题，不再复议。如前期已通过重庆市成人高</w:t>
      </w:r>
      <w:r>
        <w:t>等教育学士学位外语水平统一考试的（</w:t>
      </w:r>
      <w:r>
        <w:rPr>
          <w:spacing w:val="-8"/>
        </w:rPr>
        <w:t xml:space="preserve">该考试将从 </w:t>
      </w:r>
      <w:r>
        <w:t>2020</w:t>
      </w:r>
      <w:r>
        <w:rPr>
          <w:spacing w:val="-7"/>
        </w:rPr>
        <w:t xml:space="preserve"> 年开始停止组织</w:t>
      </w:r>
      <w:r>
        <w:t>），</w:t>
      </w:r>
      <w:r>
        <w:rPr>
          <w:spacing w:val="-15"/>
        </w:rPr>
        <w:t>也</w:t>
      </w:r>
      <w:r>
        <w:t>可以学位英语考试成绩作为高等学历继续教育本科毕业生学业水平测试成绩申请学位。</w:t>
      </w:r>
    </w:p>
    <w:p>
      <w:pPr>
        <w:pStyle w:val="2"/>
        <w:spacing w:before="4"/>
        <w:ind w:left="620" w:firstLine="0"/>
        <w:jc w:val="both"/>
      </w:pPr>
      <w:r>
        <w:t>第十条 本细则自印发之日起生效，由校教务处负责解释。</w:t>
      </w:r>
    </w:p>
    <w:sectPr>
      <w:pgSz w:w="11910" w:h="16840"/>
      <w:pgMar w:top="1460" w:right="1360" w:bottom="280" w:left="16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17772F8C"/>
    <w:rsid w:val="2ACA2070"/>
    <w:rsid w:val="735C11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
      <w:ind w:left="140" w:firstLine="479"/>
    </w:pPr>
    <w:rPr>
      <w:rFonts w:ascii="宋体" w:hAnsi="宋体" w:eastAsia="宋体" w:cs="宋体"/>
      <w:sz w:val="24"/>
      <w:szCs w:val="24"/>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2020-07-02T02:24:00Z</dcterms:created>
  <dc:creator>微软用户</dc:creator>
  <cp:lastModifiedBy>Mr.王</cp:lastModifiedBy>
  <dcterms:modified xsi:type="dcterms:W3CDTF">2020-07-02T06:43:25Z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Microsoft® Word 2010</vt:lpwstr>
  </property>
  <property fmtid="{D5CDD505-2E9C-101B-9397-08002B2CF9AE}" pid="4" name="LastSaved">
    <vt:filetime>2020-07-02T00:00:00Z</vt:filetime>
  </property>
  <property fmtid="{D5CDD505-2E9C-101B-9397-08002B2CF9AE}" pid="5" name="KSOProductBuildVer">
    <vt:lpwstr>2052-11.1.0.9828</vt:lpwstr>
  </property>
</Properties>
</file>